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档案局</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一、主要职能</w:t>
      </w:r>
    </w:p>
    <w:p>
      <w:pPr>
        <w:ind w:firstLine="600" w:firstLineChars="200"/>
        <w:rPr>
          <w:rFonts w:hint="eastAsia"/>
          <w:sz w:val="30"/>
          <w:szCs w:val="30"/>
        </w:rPr>
      </w:pPr>
      <w:r>
        <w:rPr>
          <w:rFonts w:hint="eastAsia"/>
          <w:sz w:val="30"/>
          <w:szCs w:val="30"/>
        </w:rPr>
        <w:t>1、贯彻执行档案法律、法规和国家有关方针政策；</w:t>
      </w:r>
    </w:p>
    <w:p>
      <w:pPr>
        <w:ind w:firstLine="600" w:firstLineChars="200"/>
        <w:rPr>
          <w:rFonts w:hint="eastAsia"/>
          <w:sz w:val="30"/>
          <w:szCs w:val="30"/>
        </w:rPr>
      </w:pPr>
      <w:r>
        <w:rPr>
          <w:rFonts w:hint="eastAsia"/>
          <w:sz w:val="30"/>
          <w:szCs w:val="30"/>
        </w:rPr>
        <w:t>2、制定本行政区域内的档案事业发展计划和档案工作规章制度，并组织实施；</w:t>
      </w:r>
    </w:p>
    <w:p>
      <w:pPr>
        <w:ind w:firstLine="600" w:firstLineChars="200"/>
        <w:rPr>
          <w:rFonts w:hint="eastAsia"/>
          <w:sz w:val="30"/>
          <w:szCs w:val="30"/>
        </w:rPr>
      </w:pPr>
      <w:r>
        <w:rPr>
          <w:rFonts w:hint="eastAsia"/>
          <w:sz w:val="30"/>
          <w:szCs w:val="30"/>
        </w:rPr>
        <w:t>3、监督、指导本行政区域内的档案工作，依法查处档案违法行为；</w:t>
      </w:r>
    </w:p>
    <w:p>
      <w:pPr>
        <w:ind w:firstLine="600" w:firstLineChars="200"/>
        <w:rPr>
          <w:rFonts w:hint="eastAsia"/>
          <w:sz w:val="30"/>
          <w:szCs w:val="30"/>
        </w:rPr>
      </w:pPr>
      <w:r>
        <w:rPr>
          <w:rFonts w:hint="eastAsia"/>
          <w:sz w:val="30"/>
          <w:szCs w:val="30"/>
        </w:rPr>
        <w:t>4、组织、指导本行政区域内档案理论与科学技术研究，档案宣传与档案教育、档案工作人员培训；</w:t>
      </w:r>
    </w:p>
    <w:p>
      <w:pPr>
        <w:ind w:firstLine="600" w:firstLineChars="200"/>
        <w:rPr>
          <w:rFonts w:hint="eastAsia"/>
          <w:sz w:val="30"/>
          <w:szCs w:val="30"/>
        </w:rPr>
      </w:pPr>
      <w:r>
        <w:rPr>
          <w:rFonts w:hint="eastAsia"/>
          <w:sz w:val="30"/>
          <w:szCs w:val="30"/>
        </w:rPr>
        <w:t>5、收集和接收本馆保管范围内对国家和社会有保存价值的档案，对所保存的档案严格按照规定整理和保管，采取各种形式开发档案资源，为社会利用档案资源提供服务；</w:t>
      </w:r>
    </w:p>
    <w:p>
      <w:pPr>
        <w:ind w:firstLine="600" w:firstLineChars="200"/>
        <w:rPr>
          <w:rFonts w:hint="eastAsia"/>
          <w:sz w:val="30"/>
          <w:szCs w:val="30"/>
        </w:rPr>
      </w:pPr>
      <w:r>
        <w:rPr>
          <w:rFonts w:hint="eastAsia"/>
          <w:sz w:val="30"/>
          <w:szCs w:val="30"/>
        </w:rPr>
        <w:t>6、制定全县县志工作计划及规划，负责《绥滨县志》、《绥滨年鉴》的编纂，负责本行政区域内地方志工作的的组织、指导、督促和检查。</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ind w:firstLine="640" w:firstLineChars="200"/>
        <w:rPr>
          <w:rFonts w:hint="eastAsia"/>
          <w:sz w:val="32"/>
          <w:szCs w:val="32"/>
        </w:rPr>
      </w:pPr>
      <w:r>
        <w:rPr>
          <w:rFonts w:hint="eastAsia"/>
          <w:sz w:val="32"/>
          <w:szCs w:val="32"/>
          <w:lang w:eastAsia="zh-CN"/>
        </w:rPr>
        <w:t>为全额</w:t>
      </w:r>
      <w:r>
        <w:rPr>
          <w:rFonts w:hint="eastAsia"/>
          <w:sz w:val="32"/>
          <w:szCs w:val="32"/>
        </w:rPr>
        <w:t>拨款事业单位（参照公务员管理），</w:t>
      </w:r>
      <w:r>
        <w:rPr>
          <w:rFonts w:hint="eastAsia"/>
          <w:sz w:val="32"/>
          <w:szCs w:val="32"/>
          <w:lang w:eastAsia="zh-CN"/>
        </w:rPr>
        <w:t>内设</w:t>
      </w:r>
      <w:r>
        <w:rPr>
          <w:rFonts w:hint="default"/>
          <w:sz w:val="32"/>
          <w:szCs w:val="32"/>
          <w:lang w:val="en-US" w:eastAsia="zh-CN"/>
        </w:rPr>
        <w:t>5</w:t>
      </w:r>
      <w:r>
        <w:rPr>
          <w:rFonts w:hint="eastAsia"/>
          <w:sz w:val="32"/>
          <w:szCs w:val="32"/>
        </w:rPr>
        <w:t>个科室，（办公室、管理股、指导股、法宣办、史志办</w:t>
      </w:r>
      <w:r>
        <w:rPr>
          <w:rFonts w:hint="eastAsia"/>
          <w:sz w:val="32"/>
          <w:szCs w:val="32"/>
          <w:lang w:eastAsia="zh-CN"/>
        </w:rPr>
        <w:t>、</w:t>
      </w:r>
      <w:r>
        <w:rPr>
          <w:rFonts w:hint="eastAsia"/>
          <w:sz w:val="32"/>
          <w:szCs w:val="32"/>
        </w:rPr>
        <w:t>），为</w:t>
      </w:r>
      <w:r>
        <w:rPr>
          <w:rFonts w:hint="eastAsia"/>
          <w:sz w:val="32"/>
          <w:szCs w:val="32"/>
          <w:lang w:eastAsia="zh-CN"/>
        </w:rPr>
        <w:t>一级预算</w:t>
      </w:r>
      <w:r>
        <w:rPr>
          <w:rFonts w:hint="eastAsia"/>
          <w:sz w:val="32"/>
          <w:szCs w:val="32"/>
        </w:rPr>
        <w:t>单位。在</w:t>
      </w:r>
      <w:r>
        <w:rPr>
          <w:rFonts w:hint="eastAsia"/>
          <w:sz w:val="32"/>
          <w:szCs w:val="32"/>
          <w:lang w:eastAsia="zh-CN"/>
        </w:rPr>
        <w:t>职</w:t>
      </w:r>
      <w:r>
        <w:rPr>
          <w:rFonts w:hint="default"/>
          <w:sz w:val="32"/>
          <w:szCs w:val="32"/>
          <w:lang w:val="en-US" w:eastAsia="zh-CN"/>
        </w:rPr>
        <w:t>10</w:t>
      </w:r>
      <w:r>
        <w:rPr>
          <w:rFonts w:hint="eastAsia"/>
          <w:sz w:val="32"/>
          <w:szCs w:val="32"/>
        </w:rPr>
        <w:t>人，局长一名，副局长一名。</w:t>
      </w:r>
    </w:p>
    <w:p>
      <w:pPr>
        <w:pStyle w:val="4"/>
        <w:widowControl/>
        <w:numPr>
          <w:ilvl w:val="0"/>
          <w:numId w:val="1"/>
        </w:numPr>
        <w:spacing w:before="180" w:beforeAutospacing="0" w:after="360" w:afterAutospacing="0" w:line="450" w:lineRule="atLeast"/>
        <w:ind w:left="260" w:firstLine="733"/>
        <w:rPr>
          <w:rFonts w:hint="eastAsia" w:asciiTheme="minorEastAsia" w:hAnsiTheme="minorEastAsia" w:cstheme="minorEastAsia"/>
          <w:color w:val="333333"/>
          <w:sz w:val="28"/>
          <w:szCs w:val="28"/>
        </w:rPr>
      </w:pPr>
      <w:r>
        <w:rPr>
          <w:rFonts w:hint="eastAsia" w:asciiTheme="minorEastAsia" w:hAnsiTheme="minorEastAsia" w:cstheme="minorEastAsia"/>
          <w:color w:val="333333"/>
          <w:sz w:val="28"/>
          <w:szCs w:val="28"/>
        </w:rPr>
        <w:t>人员构成</w:t>
      </w:r>
    </w:p>
    <w:p>
      <w:pPr>
        <w:pStyle w:val="4"/>
        <w:widowControl/>
        <w:numPr>
          <w:ilvl w:val="0"/>
          <w:numId w:val="0"/>
        </w:numPr>
        <w:spacing w:before="180" w:beforeAutospacing="0" w:after="360" w:afterAutospacing="0" w:line="450" w:lineRule="atLeast"/>
        <w:ind w:firstLine="640" w:firstLineChars="200"/>
        <w:rPr>
          <w:rFonts w:hint="eastAsia"/>
          <w:sz w:val="32"/>
          <w:szCs w:val="32"/>
          <w:lang w:val="en-US" w:eastAsia="zh-CN"/>
        </w:rPr>
      </w:pPr>
      <w:r>
        <w:rPr>
          <w:rFonts w:hint="eastAsia"/>
          <w:sz w:val="32"/>
          <w:szCs w:val="32"/>
        </w:rPr>
        <w:t>事业单位（参照公务员管理）</w:t>
      </w:r>
      <w:r>
        <w:rPr>
          <w:rFonts w:hint="eastAsia"/>
          <w:sz w:val="32"/>
          <w:szCs w:val="32"/>
          <w:lang w:eastAsia="zh-CN"/>
        </w:rPr>
        <w:t>编制数</w:t>
      </w:r>
      <w:r>
        <w:rPr>
          <w:rFonts w:hint="eastAsia"/>
          <w:sz w:val="32"/>
          <w:szCs w:val="32"/>
          <w:lang w:val="en-US" w:eastAsia="zh-CN"/>
        </w:rPr>
        <w:t>14个，在职</w:t>
      </w:r>
      <w:r>
        <w:rPr>
          <w:rFonts w:hint="default"/>
          <w:sz w:val="32"/>
          <w:szCs w:val="32"/>
          <w:lang w:val="en-US" w:eastAsia="zh-CN"/>
        </w:rPr>
        <w:t>10</w:t>
      </w:r>
      <w:r>
        <w:rPr>
          <w:rFonts w:hint="eastAsia"/>
          <w:sz w:val="32"/>
          <w:szCs w:val="32"/>
          <w:lang w:val="en-US" w:eastAsia="zh-CN"/>
        </w:rPr>
        <w:t>人，退休</w:t>
      </w:r>
      <w:r>
        <w:rPr>
          <w:rFonts w:hint="default"/>
          <w:sz w:val="32"/>
          <w:szCs w:val="32"/>
          <w:lang w:val="en-US" w:eastAsia="zh-CN"/>
        </w:rPr>
        <w:t>9</w:t>
      </w:r>
      <w:r>
        <w:rPr>
          <w:rFonts w:hint="eastAsia"/>
          <w:sz w:val="32"/>
          <w:szCs w:val="32"/>
          <w:lang w:val="en-US" w:eastAsia="zh-CN"/>
        </w:rPr>
        <w:t>人。</w:t>
      </w:r>
    </w:p>
    <w:p>
      <w:pPr>
        <w:pStyle w:val="4"/>
        <w:keepNext w:val="0"/>
        <w:keepLines w:val="0"/>
        <w:widowControl/>
        <w:suppressLineNumbers w:val="0"/>
        <w:spacing w:before="180" w:beforeAutospacing="0" w:after="360" w:afterAutospacing="0" w:line="450" w:lineRule="atLeast"/>
        <w:ind w:left="458" w:right="0" w:firstLine="980"/>
        <w:jc w:val="left"/>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default" w:asciiTheme="minorEastAsia" w:hAnsiTheme="minorEastAsia" w:cstheme="minorEastAsia"/>
          <w:color w:val="373737"/>
          <w:sz w:val="28"/>
          <w:szCs w:val="28"/>
          <w:shd w:val="clear" w:color="auto" w:fill="FFFFFF"/>
          <w:lang w:val="en-US"/>
        </w:rPr>
        <w:t>164.12</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162.10</w:t>
      </w:r>
      <w:r>
        <w:rPr>
          <w:rFonts w:hint="eastAsia" w:asciiTheme="minorEastAsia" w:hAnsiTheme="minorEastAsia" w:cstheme="minorEastAsia"/>
          <w:color w:val="373737"/>
          <w:sz w:val="28"/>
          <w:szCs w:val="28"/>
          <w:shd w:val="clear" w:color="auto" w:fill="FFFFFF"/>
        </w:rPr>
        <w:t>万元，与上年相比，收入总计增加</w:t>
      </w:r>
      <w:r>
        <w:rPr>
          <w:rFonts w:hint="default" w:asciiTheme="minorEastAsia" w:hAnsiTheme="minorEastAsia" w:cstheme="minorEastAsia"/>
          <w:color w:val="373737"/>
          <w:sz w:val="28"/>
          <w:szCs w:val="28"/>
          <w:shd w:val="clear" w:color="auto" w:fill="FFFFFF"/>
          <w:lang w:val="en-US"/>
        </w:rPr>
        <w:t>2.25</w:t>
      </w:r>
      <w:r>
        <w:rPr>
          <w:rFonts w:hint="eastAsia" w:asciiTheme="minorEastAsia" w:hAnsiTheme="minorEastAsia" w:cstheme="minorEastAsia"/>
          <w:color w:val="373737"/>
          <w:sz w:val="28"/>
          <w:szCs w:val="28"/>
          <w:shd w:val="clear" w:color="auto" w:fill="FFFFFF"/>
        </w:rPr>
        <w:t>万元，增长</w:t>
      </w:r>
      <w:r>
        <w:rPr>
          <w:rFonts w:hint="default" w:asciiTheme="minorEastAsia" w:hAnsiTheme="minorEastAsia" w:cstheme="minorEastAsia"/>
          <w:color w:val="373737"/>
          <w:sz w:val="28"/>
          <w:szCs w:val="28"/>
          <w:shd w:val="clear" w:color="auto" w:fill="FFFFFF"/>
          <w:lang w:val="en-US"/>
        </w:rPr>
        <w:t>1.37</w:t>
      </w:r>
      <w:r>
        <w:rPr>
          <w:rFonts w:hint="eastAsia" w:asciiTheme="minorEastAsia" w:hAnsiTheme="minorEastAsia" w:cstheme="minorEastAsia"/>
          <w:color w:val="373737"/>
          <w:sz w:val="28"/>
          <w:szCs w:val="28"/>
          <w:shd w:val="clear" w:color="auto" w:fill="FFFFFF"/>
        </w:rPr>
        <w:t>%；支出总计增加</w:t>
      </w:r>
      <w:r>
        <w:rPr>
          <w:rFonts w:hint="eastAsia" w:asciiTheme="minorEastAsia" w:hAnsiTheme="minorEastAsia" w:cstheme="minorEastAsia"/>
          <w:color w:val="373737"/>
          <w:sz w:val="28"/>
          <w:szCs w:val="28"/>
          <w:shd w:val="clear" w:color="auto" w:fill="FFFFFF"/>
          <w:lang w:val="en-US" w:eastAsia="zh-CN"/>
        </w:rPr>
        <w:t>0.23</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0.14</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default" w:asciiTheme="minorEastAsia" w:hAnsiTheme="minorEastAsia" w:cstheme="minorEastAsia"/>
          <w:color w:val="373737"/>
          <w:sz w:val="28"/>
          <w:szCs w:val="28"/>
          <w:shd w:val="clear" w:color="auto" w:fill="FFFFFF"/>
          <w:lang w:val="en-US"/>
        </w:rPr>
        <w:t>164.12</w:t>
      </w:r>
      <w:r>
        <w:rPr>
          <w:rFonts w:hint="eastAsia" w:asciiTheme="minorEastAsia" w:hAnsiTheme="minorEastAsia" w:cstheme="minorEastAsia"/>
          <w:color w:val="373737"/>
          <w:sz w:val="28"/>
          <w:szCs w:val="28"/>
          <w:shd w:val="clear" w:color="auto" w:fill="FFFFFF"/>
        </w:rPr>
        <w:t>万元，其中：财政拨款收入</w:t>
      </w:r>
      <w:r>
        <w:rPr>
          <w:rFonts w:hint="default" w:asciiTheme="minorEastAsia" w:hAnsiTheme="minorEastAsia" w:cstheme="minorEastAsia"/>
          <w:color w:val="373737"/>
          <w:sz w:val="28"/>
          <w:szCs w:val="28"/>
          <w:shd w:val="clear" w:color="auto" w:fill="FFFFFF"/>
          <w:lang w:val="en-US"/>
        </w:rPr>
        <w:t>164.12</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100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default" w:asciiTheme="minorEastAsia" w:hAnsiTheme="minorEastAsia" w:cstheme="minorEastAsia"/>
          <w:color w:val="373737"/>
          <w:sz w:val="28"/>
          <w:szCs w:val="28"/>
          <w:shd w:val="clear" w:color="auto" w:fill="FFFFFF"/>
          <w:lang w:val="en-US"/>
        </w:rPr>
        <w:t>16</w:t>
      </w:r>
      <w:r>
        <w:rPr>
          <w:rFonts w:hint="eastAsia" w:asciiTheme="minorEastAsia" w:hAnsiTheme="minorEastAsia" w:cstheme="minorEastAsia"/>
          <w:color w:val="373737"/>
          <w:sz w:val="28"/>
          <w:szCs w:val="28"/>
          <w:shd w:val="clear" w:color="auto" w:fill="FFFFFF"/>
          <w:lang w:val="en-US" w:eastAsia="zh-CN"/>
        </w:rPr>
        <w:t>2.10</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160.49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99</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default" w:asciiTheme="minorEastAsia" w:hAnsiTheme="minorEastAsia" w:cstheme="minorEastAsia"/>
          <w:color w:val="373737"/>
          <w:sz w:val="28"/>
          <w:szCs w:val="28"/>
          <w:shd w:val="clear" w:color="auto" w:fill="FFFFFF"/>
          <w:lang w:val="en-US"/>
        </w:rPr>
        <w:t>164.12</w:t>
      </w:r>
      <w:r>
        <w:rPr>
          <w:rFonts w:hint="eastAsia" w:asciiTheme="minorEastAsia" w:hAnsiTheme="minorEastAsia" w:cstheme="minorEastAsia"/>
          <w:color w:val="373737"/>
          <w:sz w:val="28"/>
          <w:szCs w:val="28"/>
          <w:shd w:val="clear" w:color="auto" w:fill="FFFFFF"/>
        </w:rPr>
        <w:t>万元，与上年相比，增加</w:t>
      </w:r>
      <w:r>
        <w:rPr>
          <w:rFonts w:hint="default" w:asciiTheme="minorEastAsia" w:hAnsiTheme="minorEastAsia" w:cstheme="minorEastAsia"/>
          <w:color w:val="373737"/>
          <w:sz w:val="28"/>
          <w:szCs w:val="28"/>
          <w:shd w:val="clear" w:color="auto" w:fill="FFFFFF"/>
          <w:lang w:val="en-US"/>
        </w:rPr>
        <w:t>2.25</w:t>
      </w:r>
      <w:r>
        <w:rPr>
          <w:rFonts w:hint="eastAsia" w:asciiTheme="minorEastAsia" w:hAnsiTheme="minorEastAsia" w:cstheme="minorEastAsia"/>
          <w:color w:val="373737"/>
          <w:sz w:val="28"/>
          <w:szCs w:val="28"/>
          <w:shd w:val="clear" w:color="auto" w:fill="FFFFFF"/>
        </w:rPr>
        <w:t>万元，增长</w:t>
      </w:r>
      <w:r>
        <w:rPr>
          <w:rFonts w:hint="default" w:asciiTheme="minorEastAsia" w:hAnsiTheme="minorEastAsia" w:cstheme="minorEastAsia"/>
          <w:color w:val="373737"/>
          <w:sz w:val="28"/>
          <w:szCs w:val="28"/>
          <w:shd w:val="clear" w:color="auto" w:fill="FFFFFF"/>
          <w:lang w:val="en-US"/>
        </w:rPr>
        <w:t>1.37</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162.10</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0.23</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0.14</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162.10</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%。与上年相比，财政拨款支出增加</w:t>
      </w:r>
      <w:r>
        <w:rPr>
          <w:rFonts w:hint="eastAsia" w:asciiTheme="minorEastAsia" w:hAnsiTheme="minorEastAsia" w:cstheme="minorEastAsia"/>
          <w:color w:val="373737"/>
          <w:sz w:val="28"/>
          <w:szCs w:val="28"/>
          <w:shd w:val="clear" w:color="auto" w:fill="FFFFFF"/>
          <w:lang w:val="en-US" w:eastAsia="zh-CN"/>
        </w:rPr>
        <w:t>0.23</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0.14</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162.10</w:t>
      </w:r>
      <w:r>
        <w:rPr>
          <w:rFonts w:hint="eastAsia" w:asciiTheme="minorEastAsia" w:hAnsiTheme="minorEastAsia" w:cstheme="minorEastAsia"/>
          <w:color w:val="373737"/>
          <w:sz w:val="28"/>
          <w:szCs w:val="28"/>
          <w:shd w:val="clear" w:color="auto" w:fill="FFFFFF"/>
        </w:rPr>
        <w:t>万元，主要用于以下方面：</w:t>
      </w:r>
      <w:r>
        <w:rPr>
          <w:rFonts w:hint="eastAsia" w:asciiTheme="minorEastAsia" w:hAnsiTheme="minorEastAsia" w:cstheme="minorEastAsia"/>
          <w:b/>
          <w:bCs/>
          <w:i w:val="0"/>
          <w:caps w:val="0"/>
          <w:color w:val="373737"/>
          <w:spacing w:val="0"/>
          <w:sz w:val="28"/>
          <w:szCs w:val="28"/>
          <w:shd w:val="clear" w:fill="FFFFFF"/>
          <w:vertAlign w:val="baseline"/>
          <w:lang w:eastAsia="zh-CN"/>
        </w:rPr>
        <w:t>一般公共服务支出</w:t>
      </w:r>
      <w:r>
        <w:rPr>
          <w:rFonts w:hint="default" w:asciiTheme="minorEastAsia" w:hAnsiTheme="minorEastAsia" w:cstheme="minorEastAsia"/>
          <w:i w:val="0"/>
          <w:caps w:val="0"/>
          <w:color w:val="373737"/>
          <w:spacing w:val="0"/>
          <w:sz w:val="28"/>
          <w:szCs w:val="28"/>
          <w:shd w:val="clear" w:fill="FFFFFF"/>
          <w:vertAlign w:val="baseline"/>
          <w:lang w:val="en-US" w:eastAsia="zh-CN"/>
        </w:rPr>
        <w:t>14</w:t>
      </w:r>
      <w:r>
        <w:rPr>
          <w:rFonts w:hint="eastAsia" w:asciiTheme="minorEastAsia" w:hAnsiTheme="minorEastAsia" w:cstheme="minorEastAsia"/>
          <w:i w:val="0"/>
          <w:caps w:val="0"/>
          <w:color w:val="373737"/>
          <w:spacing w:val="0"/>
          <w:sz w:val="28"/>
          <w:szCs w:val="28"/>
          <w:shd w:val="clear" w:fill="FFFFFF"/>
          <w:vertAlign w:val="baseline"/>
          <w:lang w:val="en-US" w:eastAsia="zh-CN"/>
        </w:rPr>
        <w:t>1.32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，占</w:t>
      </w:r>
      <w:r>
        <w:rPr>
          <w:rFonts w:hint="default" w:asciiTheme="minorEastAsia" w:hAnsiTheme="minorEastAsia" w:cstheme="minorEastAsia"/>
          <w:i w:val="0"/>
          <w:caps w:val="0"/>
          <w:color w:val="373737"/>
          <w:spacing w:val="0"/>
          <w:sz w:val="28"/>
          <w:szCs w:val="28"/>
          <w:shd w:val="clear" w:fill="FFFFFF"/>
          <w:vertAlign w:val="baseline"/>
          <w:lang w:val="en-US" w:eastAsia="zh-CN"/>
        </w:rPr>
        <w:t>87.</w:t>
      </w:r>
      <w:r>
        <w:rPr>
          <w:rFonts w:hint="eastAsia" w:asciiTheme="minorEastAsia" w:hAnsiTheme="minorEastAsia" w:cstheme="minorEastAsia"/>
          <w:i w:val="0"/>
          <w:caps w:val="0"/>
          <w:color w:val="373737"/>
          <w:spacing w:val="0"/>
          <w:sz w:val="28"/>
          <w:szCs w:val="28"/>
          <w:shd w:val="clear" w:fill="FFFFFF"/>
          <w:vertAlign w:val="baseline"/>
          <w:lang w:val="en-US" w:eastAsia="zh-CN"/>
        </w:rPr>
        <w:t>18%；</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w:t>
      </w:r>
      <w:r>
        <w:rPr>
          <w:rFonts w:hint="default" w:asciiTheme="minorEastAsia" w:hAnsiTheme="minorEastAsia" w:cstheme="minorEastAsia"/>
          <w:color w:val="373737"/>
          <w:sz w:val="28"/>
          <w:szCs w:val="28"/>
          <w:shd w:val="clear" w:color="auto" w:fill="FFFFFF"/>
          <w:lang w:val="en-US"/>
        </w:rPr>
        <w:t>14.3</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8.</w:t>
      </w:r>
      <w:r>
        <w:rPr>
          <w:rFonts w:hint="eastAsia" w:asciiTheme="minorEastAsia" w:hAnsiTheme="minorEastAsia" w:cstheme="minorEastAsia"/>
          <w:color w:val="373737"/>
          <w:sz w:val="28"/>
          <w:szCs w:val="28"/>
          <w:shd w:val="clear" w:color="auto" w:fill="FFFFFF"/>
          <w:lang w:val="en-US" w:eastAsia="zh-CN"/>
        </w:rPr>
        <w:t>87</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w:t>
      </w:r>
      <w:r>
        <w:rPr>
          <w:rFonts w:hint="default" w:asciiTheme="minorEastAsia" w:hAnsiTheme="minorEastAsia" w:cstheme="minorEastAsia"/>
          <w:color w:val="373737"/>
          <w:sz w:val="28"/>
          <w:szCs w:val="28"/>
          <w:shd w:val="clear" w:color="auto" w:fill="FFFFFF"/>
          <w:lang w:val="en-US"/>
        </w:rPr>
        <w:t>1.61</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1</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default" w:asciiTheme="minorEastAsia" w:hAnsiTheme="minorEastAsia" w:cstheme="minorEastAsia"/>
          <w:color w:val="373737"/>
          <w:sz w:val="28"/>
          <w:szCs w:val="28"/>
          <w:shd w:val="clear" w:color="auto" w:fill="FFFFFF"/>
          <w:lang w:val="en-US"/>
        </w:rPr>
        <w:t>4.79</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2.9</w:t>
      </w:r>
      <w:r>
        <w:rPr>
          <w:rFonts w:hint="eastAsia" w:asciiTheme="minorEastAsia" w:hAnsiTheme="minorEastAsia" w:cstheme="minorEastAsia"/>
          <w:color w:val="373737"/>
          <w:sz w:val="28"/>
          <w:szCs w:val="28"/>
          <w:shd w:val="clear" w:color="auto" w:fill="FFFFFF"/>
          <w:lang w:val="en-US" w:eastAsia="zh-CN"/>
        </w:rPr>
        <w:t>5</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default" w:asciiTheme="minorEastAsia" w:hAnsiTheme="minorEastAsia" w:cstheme="minorEastAsia"/>
          <w:color w:val="373737"/>
          <w:sz w:val="28"/>
          <w:szCs w:val="28"/>
          <w:shd w:val="clear" w:color="auto" w:fill="FFFFFF"/>
          <w:lang w:val="en-US"/>
        </w:rPr>
        <w:t>130.58</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162.10</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124.14</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default" w:asciiTheme="minorEastAsia" w:hAnsiTheme="minorEastAsia" w:cstheme="minorEastAsia"/>
          <w:color w:val="373737"/>
          <w:sz w:val="28"/>
          <w:szCs w:val="28"/>
          <w:shd w:val="clear" w:color="auto" w:fill="FFFFFF"/>
          <w:lang w:val="en-US"/>
        </w:rPr>
        <w:t>44.07</w:t>
      </w:r>
      <w:r>
        <w:rPr>
          <w:rFonts w:hint="eastAsia" w:asciiTheme="minorEastAsia" w:hAnsiTheme="minorEastAsia" w:cstheme="minorEastAsia"/>
          <w:color w:val="373737"/>
          <w:sz w:val="28"/>
          <w:szCs w:val="28"/>
          <w:shd w:val="clear" w:color="auto" w:fill="FFFFFF"/>
        </w:rPr>
        <w:t>万元，支出决算为</w:t>
      </w:r>
      <w:r>
        <w:rPr>
          <w:rFonts w:hint="default" w:asciiTheme="minorEastAsia" w:hAnsiTheme="minorEastAsia" w:cstheme="minorEastAsia"/>
          <w:color w:val="373737"/>
          <w:sz w:val="28"/>
          <w:szCs w:val="28"/>
          <w:shd w:val="clear" w:color="auto" w:fill="FFFFFF"/>
          <w:lang w:val="en-US"/>
        </w:rPr>
        <w:t>14.3</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32.63</w:t>
      </w:r>
      <w:r>
        <w:rPr>
          <w:rFonts w:hint="eastAsia" w:asciiTheme="minorEastAsia" w:hAnsiTheme="minorEastAsia" w:cstheme="minorEastAsia"/>
          <w:color w:val="373737"/>
          <w:sz w:val="28"/>
          <w:szCs w:val="28"/>
          <w:shd w:val="clear" w:color="auto" w:fill="FFFFFF"/>
        </w:rPr>
        <w:t>%。决算数</w:t>
      </w:r>
      <w:r>
        <w:rPr>
          <w:rFonts w:hint="eastAsia" w:asciiTheme="minorEastAsia" w:hAnsiTheme="minorEastAsia" w:cstheme="minorEastAsia"/>
          <w:color w:val="373737"/>
          <w:sz w:val="28"/>
          <w:szCs w:val="28"/>
          <w:shd w:val="clear" w:color="auto" w:fill="FFFFFF"/>
          <w:lang w:eastAsia="zh-CN"/>
        </w:rPr>
        <w:t>小</w:t>
      </w:r>
      <w:r>
        <w:rPr>
          <w:rFonts w:hint="eastAsia" w:asciiTheme="minorEastAsia" w:hAnsiTheme="minorEastAsia" w:cstheme="minorEastAsia"/>
          <w:color w:val="373737"/>
          <w:sz w:val="28"/>
          <w:szCs w:val="28"/>
          <w:shd w:val="clear" w:color="auto" w:fill="FFFFFF"/>
        </w:rPr>
        <w:t>于预算数的主要原因是2018年离退休职工工资</w:t>
      </w:r>
      <w:r>
        <w:rPr>
          <w:rFonts w:hint="eastAsia" w:asciiTheme="minorEastAsia" w:hAnsiTheme="minorEastAsia" w:cstheme="minorEastAsia"/>
          <w:color w:val="373737"/>
          <w:sz w:val="28"/>
          <w:szCs w:val="28"/>
          <w:shd w:val="clear" w:color="auto" w:fill="FFFFFF"/>
          <w:lang w:eastAsia="zh-CN"/>
        </w:rPr>
        <w:t>由机关事业局开资</w:t>
      </w:r>
      <w:bookmarkStart w:id="0" w:name="_GoBack"/>
      <w:bookmarkEnd w:id="0"/>
      <w:r>
        <w:rPr>
          <w:rFonts w:hint="eastAsia" w:asciiTheme="minorEastAsia" w:hAnsiTheme="minorEastAsia" w:cstheme="minorEastAsia"/>
          <w:color w:val="373737"/>
          <w:sz w:val="28"/>
          <w:szCs w:val="28"/>
          <w:shd w:val="clear" w:color="auto" w:fill="FFFFFF"/>
        </w:rPr>
        <w:t>了。</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630" w:leftChars="0" w:right="0" w:rightChars="0"/>
        <w:jc w:val="left"/>
        <w:textAlignment w:val="baseline"/>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pPr>
      <w:r>
        <w:rPr>
          <w:rStyle w:val="7"/>
          <w:rFonts w:hint="eastAsia" w:asciiTheme="minorEastAsia" w:hAnsiTheme="minorEastAsia" w:cstheme="minorEastAsia"/>
          <w:color w:val="373737"/>
          <w:sz w:val="28"/>
          <w:szCs w:val="28"/>
          <w:shd w:val="clear" w:color="auto" w:fill="FFFFFF"/>
        </w:rPr>
        <w:t>2. </w:t>
      </w:r>
      <w:r>
        <w:rPr>
          <w:rFonts w:hint="eastAsia" w:asciiTheme="minorEastAsia" w:hAnsiTheme="minorEastAsia" w:cstheme="minorEastAsia"/>
          <w:b/>
          <w:bCs/>
          <w:i w:val="0"/>
          <w:caps w:val="0"/>
          <w:color w:val="373737"/>
          <w:spacing w:val="0"/>
          <w:sz w:val="28"/>
          <w:szCs w:val="28"/>
          <w:shd w:val="clear" w:fill="FFFFFF"/>
          <w:vertAlign w:val="baseline"/>
          <w:lang w:eastAsia="zh-CN"/>
        </w:rPr>
        <w:t>一般公共服务支出（类）档案事务（款）。行政运行（项）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default" w:asciiTheme="minorEastAsia" w:hAnsiTheme="minorEastAsia" w:cstheme="minorEastAsia"/>
          <w:i w:val="0"/>
          <w:caps w:val="0"/>
          <w:color w:val="373737"/>
          <w:spacing w:val="0"/>
          <w:sz w:val="28"/>
          <w:szCs w:val="28"/>
          <w:shd w:val="clear" w:fill="FFFFFF"/>
          <w:vertAlign w:val="baseline"/>
          <w:lang w:val="en-US"/>
        </w:rPr>
        <w:t>81.88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141.32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172.59</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default"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人员经费</w:t>
      </w:r>
      <w:r>
        <w:rPr>
          <w:rFonts w:hint="eastAsia" w:asciiTheme="minorEastAsia" w:hAnsiTheme="minorEastAsia" w:eastAsiaTheme="minorEastAsia" w:cstheme="minorEastAsia"/>
          <w:i w:val="0"/>
          <w:caps w:val="0"/>
          <w:color w:val="373737"/>
          <w:spacing w:val="0"/>
          <w:sz w:val="28"/>
          <w:szCs w:val="28"/>
          <w:shd w:val="clear" w:fill="FFFFFF"/>
          <w:vertAlign w:val="baseline"/>
        </w:rPr>
        <w:t>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万元，支出决算为</w:t>
      </w:r>
      <w:r>
        <w:rPr>
          <w:rFonts w:hint="default" w:asciiTheme="minorEastAsia" w:hAnsiTheme="minorEastAsia" w:cstheme="minorEastAsia"/>
          <w:color w:val="373737"/>
          <w:sz w:val="28"/>
          <w:szCs w:val="28"/>
          <w:shd w:val="clear" w:color="auto" w:fill="FFFFFF"/>
          <w:lang w:val="en-US"/>
        </w:rPr>
        <w:t>1.61</w:t>
      </w:r>
      <w:r>
        <w:rPr>
          <w:rFonts w:hint="eastAsia" w:asciiTheme="minorEastAsia" w:hAnsiTheme="minorEastAsia" w:cstheme="minorEastAsia"/>
          <w:color w:val="373737"/>
          <w:sz w:val="28"/>
          <w:szCs w:val="28"/>
          <w:shd w:val="clear" w:color="auto" w:fill="FFFFFF"/>
        </w:rPr>
        <w:t>万元，完成年初预算的</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default" w:asciiTheme="minorEastAsia" w:hAnsiTheme="minorEastAsia" w:cstheme="minorEastAsia"/>
          <w:color w:val="373737"/>
          <w:sz w:val="28"/>
          <w:szCs w:val="28"/>
          <w:shd w:val="clear" w:color="auto" w:fill="FFFFFF"/>
          <w:lang w:val="en-US"/>
        </w:rPr>
        <w:t>4.64</w:t>
      </w:r>
      <w:r>
        <w:rPr>
          <w:rFonts w:hint="eastAsia" w:asciiTheme="minorEastAsia" w:hAnsiTheme="minorEastAsia" w:cstheme="minorEastAsia"/>
          <w:color w:val="373737"/>
          <w:sz w:val="28"/>
          <w:szCs w:val="28"/>
          <w:shd w:val="clear" w:color="auto" w:fill="FFFFFF"/>
        </w:rPr>
        <w:t>万元，支出决算为</w:t>
      </w:r>
      <w:r>
        <w:rPr>
          <w:rFonts w:hint="default" w:asciiTheme="minorEastAsia" w:hAnsiTheme="minorEastAsia" w:cstheme="minorEastAsia"/>
          <w:color w:val="373737"/>
          <w:sz w:val="28"/>
          <w:szCs w:val="28"/>
          <w:shd w:val="clear" w:color="auto" w:fill="FFFFFF"/>
          <w:lang w:val="en-US"/>
        </w:rPr>
        <w:t>4.7</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万元，完成年初预算的</w:t>
      </w:r>
      <w:r>
        <w:rPr>
          <w:rFonts w:hint="default" w:asciiTheme="minorEastAsia" w:hAnsiTheme="minorEastAsia" w:cstheme="minorEastAsia"/>
          <w:color w:val="373737"/>
          <w:sz w:val="28"/>
          <w:szCs w:val="28"/>
          <w:shd w:val="clear" w:color="auto" w:fill="FFFFFF"/>
          <w:lang w:val="en-US"/>
        </w:rPr>
        <w:t>103.</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default" w:asciiTheme="minorEastAsia" w:hAnsiTheme="minorEastAsia" w:cstheme="minorEastAsia"/>
          <w:color w:val="373737"/>
          <w:sz w:val="28"/>
          <w:szCs w:val="28"/>
          <w:shd w:val="clear" w:color="auto" w:fill="FFFFFF"/>
          <w:lang w:val="en-US"/>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160.49</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134.40</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default" w:asciiTheme="minorEastAsia" w:hAnsiTheme="minorEastAsia" w:cstheme="minorEastAsia"/>
          <w:color w:val="373737"/>
          <w:sz w:val="28"/>
          <w:szCs w:val="28"/>
          <w:shd w:val="clear" w:color="auto" w:fill="FFFFFF"/>
          <w:lang w:val="en-US"/>
        </w:rPr>
        <w:t>26.10</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万元，支出决算为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万元，完成预算的</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%，其中：因公出国（境）费支出决算为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万元，完成预算的</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%；公务用车购置及运行费支出决算为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万元，完成预算的</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%；公务接待费支出决算为</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万元，完成预算的</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%；公务用车购置及运行费支出决算</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%；公务接待费支出决算</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万元，占</w:t>
      </w:r>
      <w:r>
        <w:rPr>
          <w:rFonts w:hint="default" w:asciiTheme="minorEastAsia" w:hAnsiTheme="minorEastAsia" w:cstheme="minorEastAsia"/>
          <w:color w:val="373737"/>
          <w:sz w:val="28"/>
          <w:szCs w:val="28"/>
          <w:shd w:val="clear" w:color="auto" w:fill="FFFFFF"/>
          <w:lang w:val="en-US"/>
        </w:rPr>
        <w:t>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default" w:asciiTheme="minorEastAsia" w:hAnsiTheme="minorEastAsia" w:cstheme="minorEastAsia"/>
          <w:color w:val="333333"/>
          <w:sz w:val="28"/>
          <w:szCs w:val="28"/>
          <w:lang w:val="en-US"/>
        </w:rPr>
        <w:t>26.10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万元（与部门决算中行政单位和参照公务员法管理事业单位一般公共预算财政拨款基本支出中公用经费之和保持一致），比上年减少</w:t>
      </w:r>
      <w:r>
        <w:rPr>
          <w:rFonts w:hint="default" w:asciiTheme="minorEastAsia" w:hAnsiTheme="minorEastAsia" w:cstheme="minorEastAsia"/>
          <w:color w:val="333333"/>
          <w:sz w:val="28"/>
          <w:szCs w:val="28"/>
          <w:lang w:val="en-US"/>
        </w:rPr>
        <w:t>3.74</w:t>
      </w:r>
      <w:r>
        <w:rPr>
          <w:rFonts w:hint="eastAsia" w:asciiTheme="minorEastAsia" w:hAnsiTheme="minorEastAsia" w:cstheme="minorEastAsia"/>
          <w:color w:val="333333"/>
          <w:sz w:val="28"/>
          <w:szCs w:val="28"/>
        </w:rPr>
        <w:t>万元，降低</w:t>
      </w:r>
      <w:r>
        <w:rPr>
          <w:rFonts w:hint="default" w:asciiTheme="minorEastAsia" w:hAnsiTheme="minorEastAsia" w:cstheme="minorEastAsia"/>
          <w:color w:val="333333"/>
          <w:sz w:val="28"/>
          <w:szCs w:val="28"/>
          <w:lang w:val="en-US"/>
        </w:rPr>
        <w:t>14.33</w:t>
      </w:r>
      <w:r>
        <w:rPr>
          <w:rFonts w:hint="eastAsia" w:asciiTheme="minorEastAsia" w:hAnsi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人员退休减少经费支出，行政经费减少了支出</w:t>
      </w:r>
      <w:r>
        <w:rPr>
          <w:rFonts w:hint="eastAsia" w:asciiTheme="minorEastAsia" w:hAnsiTheme="minorEastAsia" w:eastAsiaTheme="minorEastAsia" w:cstheme="minorEastAsia"/>
          <w:color w:val="333333"/>
          <w:sz w:val="28"/>
          <w:szCs w:val="28"/>
        </w:rPr>
        <w:t>。</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万元，其中：政府采购货物支出</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万元、政府采购工程支出</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万元、政府采购服务支出</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辆，其中，一般公务用车 0 辆、一般执法执勤用</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辆、特种专业技术用车</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辆、其他用车</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辆，其他用车主要是办案用车；单位价值 50 万万元以上通用设备</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台（套），单价100 万万元以上专用设备</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万元，自评覆盖率达到100%。共组织对</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个项目进行了绩效评价，共涉及资金</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万元。从评价情况来看，本部门共开展了</w:t>
      </w:r>
      <w:r>
        <w:rPr>
          <w:rFonts w:hint="default" w:asciiTheme="minorEastAsia" w:hAnsiTheme="minorEastAsia" w:cstheme="minorEastAsia"/>
          <w:color w:val="333333"/>
          <w:sz w:val="28"/>
          <w:szCs w:val="28"/>
          <w:lang w:val="en-US"/>
        </w:rPr>
        <w:t>0</w:t>
      </w:r>
      <w:r>
        <w:rPr>
          <w:rFonts w:hint="eastAsia" w:asciiTheme="minorEastAsia" w:hAnsiTheme="minorEastAsia" w:cstheme="minorEastAsia"/>
          <w:color w:val="333333"/>
          <w:sz w:val="28"/>
          <w:szCs w:val="28"/>
        </w:rPr>
        <w:t>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AE72"/>
    <w:multiLevelType w:val="singleLevel"/>
    <w:tmpl w:val="0001AE7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98217C0"/>
    <w:rsid w:val="0E256910"/>
    <w:rsid w:val="0E980DC7"/>
    <w:rsid w:val="179B676B"/>
    <w:rsid w:val="1CFB22BC"/>
    <w:rsid w:val="27C46A0A"/>
    <w:rsid w:val="2A054FEB"/>
    <w:rsid w:val="2C021BD3"/>
    <w:rsid w:val="2DE7389C"/>
    <w:rsid w:val="30CC7782"/>
    <w:rsid w:val="36616DD4"/>
    <w:rsid w:val="3DDC6AB6"/>
    <w:rsid w:val="3EB54D2B"/>
    <w:rsid w:val="419008B3"/>
    <w:rsid w:val="48F21A91"/>
    <w:rsid w:val="4E0C6653"/>
    <w:rsid w:val="5D8D74C2"/>
    <w:rsid w:val="62763A6A"/>
    <w:rsid w:val="6B6E45D7"/>
    <w:rsid w:val="6BC52739"/>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44</TotalTime>
  <ScaleCrop>false</ScaleCrop>
  <LinksUpToDate>false</LinksUpToDate>
  <CharactersWithSpaces>3510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2019-08-30T07:33:37Z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